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000000"/>
          <w:spacing w:val="40"/>
          <w:sz w:val="34"/>
          <w:szCs w:val="34"/>
        </w:rPr>
        <w:t>GARRETT LAWSON</w:t>
      </w:r>
    </w:p>
    <w:p>
      <w:pPr>
        <w:spacing w:after="80"/>
        <w:jc w:val="center"/>
      </w:pPr>
      <w:r>
        <w:rPr>
          <w:rFonts w:ascii="Calibri" w:cs="Calibri" w:eastAsia="Calibri" w:hAnsi="Calibri"/>
          <w:color w:val="000000"/>
          <w:sz w:val="23"/>
          <w:szCs w:val="23"/>
        </w:rPr>
        <w:t xml:space="preserve">Interim &amp; Fractional Chief Human Resources Officer</w:t>
      </w:r>
    </w:p>
    <w:p>
      <w:pPr>
        <w:spacing w:after="40"/>
        <w:jc w:val="center"/>
      </w:pPr>
      <w:r>
        <w:rPr>
          <w:rFonts w:ascii="Calibri" w:cs="Calibri" w:eastAsia="Calibri" w:hAnsi="Calibri"/>
          <w:color w:val="595959"/>
          <w:sz w:val="19"/>
          <w:szCs w:val="19"/>
        </w:rPr>
        <w:t>Annapolis, MD (Baltimore–Washington)  ·  glawson@whitfieldcranegroup.com  ·  whitfieldcranegroup.com</w:t>
      </w:r>
    </w:p>
    <w:p>
      <w:pPr>
        <w:spacing w:after="60"/>
        <w:jc w:val="center"/>
      </w:pPr>
      <w:r>
        <w:rPr>
          <w:rFonts w:ascii="Calibri" w:cs="Calibri" w:eastAsia="Calibri" w:hAnsi="Calibri"/>
          <w:i/>
          <w:iCs/>
          <w:color w:val="595959"/>
          <w:sz w:val="19"/>
          <w:szCs w:val="19"/>
        </w:rPr>
        <w:t xml:space="preserve">Multi-site healthcare · 7+ states · 750+ W-2 employees · HR function builds, M&amp;A integration, workforce reductions</w:t>
      </w:r>
    </w:p>
    <w:p>
      <w:pPr>
        <w:pBdr>
          <w:bottom w:val="single" w:color="404040" w:sz="6" w:space="4"/>
        </w:pBdr>
        <w:spacing w:after="90" w:before="220"/>
      </w:pPr>
      <w:r>
        <w:rPr>
          <w:rFonts w:ascii="Calibri" w:cs="Calibri" w:eastAsia="Calibri" w:hAnsi="Calibri"/>
          <w:b/>
          <w:bCs/>
          <w:color w:val="000000"/>
          <w:spacing w:val="30"/>
          <w:sz w:val="20"/>
          <w:szCs w:val="20"/>
        </w:rPr>
        <w:t xml:space="preserve">AVAILABILITY &amp; ENGAGEMENT TERMS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000000"/>
          <w:sz w:val="21"/>
          <w:szCs w:val="21"/>
        </w:rPr>
        <w:t xml:space="preserve">Now:  </w:t>
      </w:r>
      <w:r>
        <w:rPr>
          <w:rFonts w:ascii="Calibri" w:cs="Calibri" w:eastAsia="Calibri" w:hAnsi="Calibri"/>
          <w:color w:val="000000"/>
          <w:sz w:val="21"/>
          <w:szCs w:val="21"/>
        </w:rPr>
        <w:t xml:space="preserve">Fractional engagements, 10–15 hours per week, starting immediately.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000000"/>
          <w:sz w:val="21"/>
          <w:szCs w:val="21"/>
        </w:rPr>
        <w:t xml:space="preserve">Full-time interim:  </w:t>
      </w:r>
      <w:r>
        <w:rPr>
          <w:rFonts w:ascii="Calibri" w:cs="Calibri" w:eastAsia="Calibri" w:hAnsi="Calibri"/>
          <w:color w:val="000000"/>
          <w:sz w:val="21"/>
          <w:szCs w:val="21"/>
        </w:rPr>
        <w:t xml:space="preserve">Availability accelerates for the right assignment — not gated on a fixed date.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000000"/>
          <w:sz w:val="21"/>
          <w:szCs w:val="21"/>
        </w:rPr>
        <w:t xml:space="preserve">Location:  </w:t>
      </w:r>
      <w:r>
        <w:rPr>
          <w:rFonts w:ascii="Calibri" w:cs="Calibri" w:eastAsia="Calibri" w:hAnsi="Calibri"/>
          <w:color w:val="000000"/>
          <w:sz w:val="21"/>
          <w:szCs w:val="21"/>
        </w:rPr>
        <w:t xml:space="preserve">Remote, or hybrid within 30 miles of Annapolis, MD.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000000"/>
          <w:sz w:val="21"/>
          <w:szCs w:val="21"/>
        </w:rPr>
        <w:t xml:space="preserve">Structure:  </w:t>
      </w:r>
      <w:r>
        <w:rPr>
          <w:rFonts w:ascii="Calibri" w:cs="Calibri" w:eastAsia="Calibri" w:hAnsi="Calibri"/>
          <w:color w:val="000000"/>
          <w:sz w:val="21"/>
          <w:szCs w:val="21"/>
        </w:rPr>
        <w:t>Engages on a 1099 basis through Whitfield Crane Group LLC, the consulting firm he founded and leads.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000000"/>
          <w:sz w:val="21"/>
          <w:szCs w:val="21"/>
        </w:rPr>
        <w:t xml:space="preserve">Sectors:  </w:t>
      </w:r>
      <w:r>
        <w:rPr>
          <w:rFonts w:ascii="Calibri" w:cs="Calibri" w:eastAsia="Calibri" w:hAnsi="Calibri"/>
          <w:color w:val="000000"/>
          <w:sz w:val="21"/>
          <w:szCs w:val="21"/>
        </w:rPr>
        <w:t xml:space="preserve">Healthcare and provider services (depth); professional and business services, nonprofit and association (open).</w:t>
      </w:r>
    </w:p>
    <w:p>
      <w:pPr>
        <w:pBdr>
          <w:bottom w:val="single" w:color="404040" w:sz="6" w:space="4"/>
        </w:pBdr>
        <w:spacing w:after="90" w:before="220"/>
      </w:pPr>
      <w:r>
        <w:rPr>
          <w:rFonts w:ascii="Calibri" w:cs="Calibri" w:eastAsia="Calibri" w:hAnsi="Calibri"/>
          <w:b/>
          <w:bCs/>
          <w:color w:val="000000"/>
          <w:spacing w:val="30"/>
          <w:sz w:val="20"/>
          <w:szCs w:val="20"/>
        </w:rPr>
        <w:t xml:space="preserve">ASSIGNMENT TYPES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Interim CHRO or VP-HR coverage during a vacancy, leadership transition, or period of acute change.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HR function build-out for a scaling multi-site platform — HRIS, compensation architecture, onboarding, performance management, analytics.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M&amp;A workforce due diligence and post-close integration.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Reduction in force, site closure, and consolidation — selection, documentation, notification, severance, communications.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Multi-state employment-law compliance remediation and regulatory reporting.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Compensation architecture, banding, and labor-cost restructuring.</w:t>
      </w:r>
    </w:p>
    <w:p>
      <w:pPr>
        <w:pBdr>
          <w:bottom w:val="single" w:color="404040" w:sz="6" w:space="4"/>
        </w:pBdr>
        <w:spacing w:after="90" w:before="220"/>
      </w:pPr>
      <w:r>
        <w:rPr>
          <w:rFonts w:ascii="Calibri" w:cs="Calibri" w:eastAsia="Calibri" w:hAnsi="Calibri"/>
          <w:b/>
          <w:bCs/>
          <w:color w:val="000000"/>
          <w:spacing w:val="30"/>
          <w:sz w:val="20"/>
          <w:szCs w:val="20"/>
        </w:rPr>
        <w:t xml:space="preserve">SCOPE OF CURRENT RESPONSIBILITY</w:t>
      </w:r>
    </w:p>
    <w:p>
      <w:pPr>
        <w:spacing w:after="8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750+ W-2 employees (~1,000 total workforce)  ·  11–20 sites  ·  7+ states  ·  HR team of 4–7  ·  three acquisitions integrated  ·  monthly workforce reporting to executive leadership and the Board.</w:t>
      </w:r>
    </w:p>
    <w:p>
      <w:pPr>
        <w:pBdr>
          <w:bottom w:val="single" w:color="404040" w:sz="6" w:space="4"/>
        </w:pBdr>
        <w:spacing w:after="90" w:before="220"/>
      </w:pPr>
      <w:r>
        <w:rPr>
          <w:rFonts w:ascii="Calibri" w:cs="Calibri" w:eastAsia="Calibri" w:hAnsi="Calibri"/>
          <w:b/>
          <w:bCs/>
          <w:color w:val="000000"/>
          <w:spacing w:val="30"/>
          <w:sz w:val="20"/>
          <w:szCs w:val="20"/>
        </w:rPr>
        <w:t xml:space="preserve">ADVISORY &amp; FRACTIONAL ENGAGEMENTS</w:t>
      </w:r>
    </w:p>
    <w:p>
      <w:pPr>
        <w:tabs>
          <w:tab w:val="right" w:pos="10080"/>
        </w:tabs>
        <w:spacing w:after="0" w:before="160"/>
      </w:pPr>
      <w:r>
        <w:rPr>
          <w:rFonts w:ascii="Calibri" w:cs="Calibri" w:eastAsia="Calibri" w:hAnsi="Calibri"/>
          <w:b/>
          <w:bCs/>
          <w:color w:val="000000"/>
          <w:sz w:val="22"/>
          <w:szCs w:val="22"/>
        </w:rPr>
        <w:t xml:space="preserve">Independent HR Advisory — privately held small business (client confidential)</w:t>
      </w:r>
      <w:r>
        <w:tab/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2021 – 2022</w:t>
      </w:r>
    </w:p>
    <w:p>
      <w:pPr>
        <w:spacing w:after="0" w:before="20"/>
      </w:pPr>
      <w:r>
        <w:rPr>
          <w:rFonts w:ascii="Calibri" w:cs="Calibri" w:eastAsia="Calibri" w:hAnsi="Calibri"/>
          <w:i/>
          <w:iCs/>
          <w:color w:val="000000"/>
          <w:sz w:val="21"/>
          <w:szCs w:val="21"/>
        </w:rPr>
        <w:t xml:space="preserve">Fractional HR Leadership · Project · Executive Advisory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Provided fractional HR leadership on a paid engagement basis alongside a full-time executive role — defined-scope HR project work plus ongoing advisory to the owner on people and organizational decisions.</w:t>
      </w:r>
    </w:p>
    <w:p>
      <w:pPr>
        <w:pBdr>
          <w:bottom w:val="single" w:color="404040" w:sz="6" w:space="4"/>
        </w:pBdr>
        <w:spacing w:after="90" w:before="220"/>
      </w:pPr>
      <w:r>
        <w:rPr>
          <w:rFonts w:ascii="Calibri" w:cs="Calibri" w:eastAsia="Calibri" w:hAnsi="Calibri"/>
          <w:b/>
          <w:bCs/>
          <w:color w:val="000000"/>
          <w:spacing w:val="30"/>
          <w:sz w:val="20"/>
          <w:szCs w:val="20"/>
        </w:rPr>
        <w:t xml:space="preserve">PROFESSIONAL EXPERIENCE</w:t>
      </w:r>
    </w:p>
    <w:p>
      <w:pPr>
        <w:tabs>
          <w:tab w:val="right" w:pos="10080"/>
        </w:tabs>
        <w:spacing w:after="0" w:before="160"/>
      </w:pPr>
      <w:r>
        <w:rPr>
          <w:rFonts w:ascii="Calibri" w:cs="Calibri" w:eastAsia="Calibri" w:hAnsi="Calibri"/>
          <w:b/>
          <w:bCs/>
          <w:color w:val="000000"/>
          <w:sz w:val="22"/>
          <w:szCs w:val="22"/>
        </w:rPr>
        <w:t xml:space="preserve">Multi-State Healthcare Platform (employer confidential)</w:t>
      </w:r>
      <w:r>
        <w:tab/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2022 – Present</w:t>
      </w:r>
    </w:p>
    <w:p>
      <w:pPr>
        <w:spacing w:after="0" w:before="20"/>
      </w:pPr>
      <w:r>
        <w:rPr>
          <w:rFonts w:ascii="Calibri" w:cs="Calibri" w:eastAsia="Calibri" w:hAnsi="Calibri"/>
          <w:i/>
          <w:iCs/>
          <w:color w:val="000000"/>
          <w:sz w:val="21"/>
          <w:szCs w:val="21"/>
        </w:rPr>
        <w:t xml:space="preserve">Chief Human Resources Officer</w:t>
      </w:r>
    </w:p>
    <w:p>
      <w:pPr>
        <w:spacing w:after="40" w:before="40"/>
      </w:pPr>
      <w:r>
        <w:rPr>
          <w:rFonts w:ascii="Calibri" w:cs="Calibri" w:eastAsia="Calibri" w:hAnsi="Calibri"/>
          <w:i/>
          <w:iCs/>
          <w:color w:val="595959"/>
          <w:sz w:val="19"/>
          <w:szCs w:val="19"/>
        </w:rPr>
        <w:t xml:space="preserve">Health-system-owned multi-site provider platform. 11–20 sites across 7+ states; 750+ W-2 employees (~1,000 total workforce); HR team of 4–7.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Built the HR function from approximately 20 employees to 750+ W-2 — a 35× increase — standing up HRIS, onboarding, compensation architecture, performance management, and workforce analytics where none existed.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Reduced labor cost approximately 30% by replacing ad-hoc pay practices with standardized compensation banding, workforce planning, and operational efficiencies.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Executed a reduction in force affecting 25–75 employees — selection criteria, documentation, manager preparation, notification, and severance administration.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Directed HR due diligence and workforce integration across three acquisitions, including payroll and HRIS platform transitions for the acquired workforces.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Owns employment-law compliance and litigation exposure across 7+ states — investigations, disciplinary action, performance improvement, and EEO / AAP / VETS-4212 reporting.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Leads all HR functions across the platform: talent acquisition, compensation and benefits, employee relations, performance management, training, and compliance.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Presents monthly workforce readiness, retention, and compliance reporting to executive leadership and the Board.</w:t>
      </w:r>
    </w:p>
    <w:p>
      <w:pPr>
        <w:tabs>
          <w:tab w:val="right" w:pos="10080"/>
        </w:tabs>
        <w:spacing w:after="0" w:before="160"/>
      </w:pPr>
      <w:r>
        <w:rPr>
          <w:rFonts w:ascii="Calibri" w:cs="Calibri" w:eastAsia="Calibri" w:hAnsi="Calibri"/>
          <w:b/>
          <w:bCs/>
          <w:color w:val="000000"/>
          <w:sz w:val="22"/>
          <w:szCs w:val="22"/>
        </w:rPr>
        <w:t>Tidewater Health Partners</w:t>
      </w:r>
      <w:r>
        <w:tab/>
      </w:r>
      <w:r>
        <w:rPr>
          <w:rFonts w:ascii="Calibri" w:cs="Calibri" w:eastAsia="Calibri" w:hAnsi="Calibri"/>
          <w:color w:val="595959"/>
          <w:sz w:val="20"/>
          <w:szCs w:val="20"/>
        </w:rPr>
        <w:t>2021 – 2022</w:t>
      </w:r>
    </w:p>
    <w:p>
      <w:pPr>
        <w:spacing w:after="0" w:before="20"/>
      </w:pPr>
      <w:r>
        <w:rPr>
          <w:rFonts w:ascii="Calibri" w:cs="Calibri" w:eastAsia="Calibri" w:hAnsi="Calibri"/>
          <w:i/>
          <w:iCs/>
          <w:color w:val="000000"/>
          <w:sz w:val="21"/>
          <w:szCs w:val="21"/>
        </w:rPr>
        <w:t xml:space="preserve">Vice President of Human Resources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Reduced staffing cycle time 40% by redesigning the talent pipeline and workforce plan during organizational restructuring and acute hiring pressure.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Modernized payroll, benefits, and onboarding systems to improve scalability and cost discipline.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Rebuilt employee relations protocols and performance management processes.</w:t>
      </w:r>
    </w:p>
    <w:p>
      <w:pPr>
        <w:tabs>
          <w:tab w:val="right" w:pos="10080"/>
        </w:tabs>
        <w:spacing w:after="0" w:before="160"/>
      </w:pPr>
      <w:r>
        <w:rPr>
          <w:rFonts w:ascii="Calibri" w:cs="Calibri" w:eastAsia="Calibri" w:hAnsi="Calibri"/>
          <w:b/>
          <w:bCs/>
          <w:color w:val="000000"/>
          <w:sz w:val="22"/>
          <w:szCs w:val="22"/>
        </w:rPr>
        <w:t>Chesapeake Regional Care</w:t>
      </w:r>
      <w:r>
        <w:tab/>
      </w:r>
      <w:r>
        <w:rPr>
          <w:rFonts w:ascii="Calibri" w:cs="Calibri" w:eastAsia="Calibri" w:hAnsi="Calibri"/>
          <w:color w:val="595959"/>
          <w:sz w:val="20"/>
          <w:szCs w:val="20"/>
        </w:rPr>
        <w:t>2018 – 2021</w:t>
      </w:r>
    </w:p>
    <w:p>
      <w:pPr>
        <w:spacing w:after="0" w:before="20"/>
      </w:pPr>
      <w:r>
        <w:rPr>
          <w:rFonts w:ascii="Calibri" w:cs="Calibri" w:eastAsia="Calibri" w:hAnsi="Calibri"/>
          <w:i/>
          <w:iCs/>
          <w:color w:val="000000"/>
          <w:sz w:val="21"/>
          <w:szCs w:val="21"/>
        </w:rPr>
        <w:t xml:space="preserve">Vice President of Human Resources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Staffed and opened four new facilities during rapid expansion while maintaining full regulatory compliance.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Executed a site consolidation, managing the workforce transition end to end — redeployment, separations, and employee communications.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Led crisis workforce stabilization and change management through the COVID-19 disruption.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Built governance structures and employment-law compliance infrastructure.</w:t>
      </w:r>
    </w:p>
    <w:p>
      <w:pPr>
        <w:tabs>
          <w:tab w:val="right" w:pos="10080"/>
        </w:tabs>
        <w:spacing w:after="0" w:before="160"/>
      </w:pPr>
      <w:r>
        <w:rPr>
          <w:rFonts w:ascii="Calibri" w:cs="Calibri" w:eastAsia="Calibri" w:hAnsi="Calibri"/>
          <w:b/>
          <w:bCs/>
          <w:color w:val="000000"/>
          <w:sz w:val="22"/>
          <w:szCs w:val="22"/>
        </w:rPr>
        <w:t>Piedmont Crossing Medical Center</w:t>
      </w:r>
      <w:r>
        <w:tab/>
      </w:r>
      <w:r>
        <w:rPr>
          <w:rFonts w:ascii="Calibri" w:cs="Calibri" w:eastAsia="Calibri" w:hAnsi="Calibri"/>
          <w:color w:val="595959"/>
          <w:sz w:val="20"/>
          <w:szCs w:val="20"/>
        </w:rPr>
        <w:t>2014 – 2018</w:t>
      </w:r>
    </w:p>
    <w:p>
      <w:pPr>
        <w:spacing w:after="0" w:before="20"/>
      </w:pPr>
      <w:r>
        <w:rPr>
          <w:rFonts w:ascii="Calibri" w:cs="Calibri" w:eastAsia="Calibri" w:hAnsi="Calibri"/>
          <w:i/>
          <w:iCs/>
          <w:color w:val="000000"/>
          <w:sz w:val="21"/>
          <w:szCs w:val="21"/>
        </w:rPr>
        <w:t xml:space="preserve">Director of Human Resources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Built the HR function from the ground up to support company expansion and workforce growth.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Reduced turnover 25% through leadership development and engagement initiatives.</w:t>
      </w:r>
    </w:p>
    <w:p>
      <w:pPr>
        <w:tabs>
          <w:tab w:val="right" w:pos="10080"/>
        </w:tabs>
        <w:spacing w:after="0" w:before="160"/>
      </w:pPr>
      <w:r>
        <w:rPr>
          <w:rFonts w:ascii="Calibri" w:cs="Calibri" w:eastAsia="Calibri" w:hAnsi="Calibri"/>
          <w:b/>
          <w:bCs/>
          <w:color w:val="000000"/>
          <w:sz w:val="22"/>
          <w:szCs w:val="22"/>
        </w:rPr>
        <w:t>United States Marine Corps</w:t>
      </w:r>
      <w:r>
        <w:tab/>
      </w:r>
      <w:r>
        <w:rPr>
          <w:rFonts w:ascii="Calibri" w:cs="Calibri" w:eastAsia="Calibri" w:hAnsi="Calibri"/>
          <w:color w:val="595959"/>
          <w:sz w:val="20"/>
          <w:szCs w:val="20"/>
        </w:rPr>
        <w:t>2010 – 2014</w:t>
      </w:r>
    </w:p>
    <w:p>
      <w:pPr>
        <w:spacing w:after="0" w:before="20"/>
      </w:pPr>
      <w:r>
        <w:rPr>
          <w:rFonts w:ascii="Calibri" w:cs="Calibri" w:eastAsia="Calibri" w:hAnsi="Calibri"/>
          <w:i/>
          <w:iCs/>
          <w:color w:val="000000"/>
          <w:sz w:val="21"/>
          <w:szCs w:val="21"/>
        </w:rPr>
        <w:t xml:space="preserve">Corporal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Supervised personnel in high-accountability operational environments and led quality assurance and compliance-driven processes. Service-disabled veteran.</w:t>
      </w:r>
    </w:p>
    <w:p>
      <w:pPr>
        <w:pBdr>
          <w:bottom w:val="single" w:color="404040" w:sz="6" w:space="4"/>
        </w:pBdr>
        <w:spacing w:after="90" w:before="220"/>
      </w:pPr>
      <w:r>
        <w:rPr>
          <w:rFonts w:ascii="Calibri" w:cs="Calibri" w:eastAsia="Calibri" w:hAnsi="Calibri"/>
          <w:b/>
          <w:bCs/>
          <w:color w:val="000000"/>
          <w:spacing w:val="30"/>
          <w:sz w:val="20"/>
          <w:szCs w:val="20"/>
        </w:rPr>
        <w:t xml:space="preserve">SYSTEMS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000000"/>
          <w:sz w:val="21"/>
          <w:szCs w:val="21"/>
        </w:rPr>
        <w:t xml:space="preserve">HRIS &amp; payroll:  </w:t>
      </w:r>
      <w:r>
        <w:rPr>
          <w:rFonts w:ascii="Calibri" w:cs="Calibri" w:eastAsia="Calibri" w:hAnsi="Calibri"/>
          <w:color w:val="000000"/>
          <w:sz w:val="21"/>
          <w:szCs w:val="21"/>
        </w:rPr>
        <w:t xml:space="preserve">Workday · ADP Workforce Now · Paylocity · Paycom · Dayforce — run or implemented across five employers and three acquisitions.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000000"/>
          <w:sz w:val="21"/>
          <w:szCs w:val="21"/>
        </w:rPr>
        <w:t xml:space="preserve">Talent acquisition:  </w:t>
      </w:r>
      <w:r>
        <w:rPr>
          <w:rFonts w:ascii="Calibri" w:cs="Calibri" w:eastAsia="Calibri" w:hAnsi="Calibri"/>
          <w:color w:val="000000"/>
          <w:sz w:val="21"/>
          <w:szCs w:val="21"/>
        </w:rPr>
        <w:t xml:space="preserve">iCIMS, plus embedded recruiting modules in Workday, ADP, and Paylocity.</w:t>
      </w:r>
    </w:p>
    <w:p>
      <w:pPr>
        <w:pBdr>
          <w:bottom w:val="single" w:color="404040" w:sz="6" w:space="4"/>
        </w:pBdr>
        <w:spacing w:after="90" w:before="220"/>
      </w:pPr>
      <w:r>
        <w:rPr>
          <w:rFonts w:ascii="Calibri" w:cs="Calibri" w:eastAsia="Calibri" w:hAnsi="Calibri"/>
          <w:b/>
          <w:bCs/>
          <w:color w:val="000000"/>
          <w:spacing w:val="30"/>
          <w:sz w:val="20"/>
          <w:szCs w:val="20"/>
        </w:rPr>
        <w:t xml:space="preserve">CORE CAPABILITIES</w:t>
      </w:r>
    </w:p>
    <w:p>
      <w:pPr>
        <w:spacing w:after="8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Multi-state employment law  ·  Compensation design and banding  ·  M&amp;A due diligence and workforce integration  ·  Reduction in force and site consolidation  ·  HRIS implementation and migration  ·  Workforce analytics  ·  Employee relations and investigations  ·  Talent acquisition and workforce planning  ·  EEO / AAP / VETS-4212 reporting  ·  Board-level workforce reporting  ·  Crisis and change management</w:t>
      </w:r>
    </w:p>
    <w:p>
      <w:pPr>
        <w:pBdr>
          <w:bottom w:val="single" w:color="404040" w:sz="6" w:space="4"/>
        </w:pBdr>
        <w:spacing w:after="90" w:before="220"/>
      </w:pPr>
      <w:r>
        <w:rPr>
          <w:rFonts w:ascii="Calibri" w:cs="Calibri" w:eastAsia="Calibri" w:hAnsi="Calibri"/>
          <w:b/>
          <w:bCs/>
          <w:color w:val="000000"/>
          <w:spacing w:val="30"/>
          <w:sz w:val="20"/>
          <w:szCs w:val="20"/>
        </w:rPr>
        <w:t xml:space="preserve">EDUCATION</w:t>
      </w:r>
    </w:p>
    <w:p>
      <w:pPr>
        <w:spacing w:after="80"/>
      </w:pPr>
      <w:r>
        <w:rPr>
          <w:rFonts w:ascii="Calibri" w:cs="Calibri" w:eastAsia="Calibri" w:hAnsi="Calibri"/>
          <w:color w:val="000000"/>
          <w:sz w:val="21"/>
          <w:szCs w:val="21"/>
        </w:rPr>
        <w:t>Master of Healthcare Administration — George Washington University</w:t>
      </w:r>
    </w:p>
    <w:p>
      <w:pPr>
        <w:spacing w:after="80"/>
      </w:pPr>
      <w:r>
        <w:rPr>
          <w:rFonts w:ascii="Calibri" w:cs="Calibri" w:eastAsia="Calibri" w:hAnsi="Calibri"/>
          <w:color w:val="000000"/>
          <w:sz w:val="21"/>
          <w:szCs w:val="21"/>
        </w:rPr>
        <w:t>Bachelor of Business Administration — James Madison University</w:t>
      </w:r>
    </w:p>
    <w:p>
      <w:pPr>
        <w:spacing w:after="80"/>
      </w:pPr>
      <w:r>
        <w:rPr>
          <w:rFonts w:ascii="Calibri" w:cs="Calibri" w:eastAsia="Calibri" w:hAnsi="Calibri"/>
          <w:color w:val="000000"/>
          <w:sz w:val="21"/>
          <w:szCs w:val="21"/>
        </w:rPr>
        <w:t xml:space="preserve">SHRM certification — expected late 2026</w:t>
      </w:r>
    </w:p>
    <w:sectPr>
      <w:headerReference w:type="default" r:id="rId8"/>
      <w:footerReference w:type="default" r:id="rId9"/>
      <w:pgSz w:w="12240" w:h="15840" w:orient="portrait"/>
      <w:pgMar w:top="760" w:right="1080" w:bottom="7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  <w:rPr>
        <w:color w:val="00000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00000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Garrett Lawson — Interim &amp; Fractional CHRO</dc:title>
  <dc:creator>Garrett Lawson</dc:creator>
  <cp:lastModifiedBy>Un-named</cp:lastModifiedBy>
  <cp:revision>1</cp:revision>
  <dcterms:created xsi:type="dcterms:W3CDTF">2026-09-13T18:55:21.645Z</dcterms:created>
  <dcterms:modified xsi:type="dcterms:W3CDTF">2026-09-13T18:55:21.645Z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